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BDA0" w14:textId="263B0C01"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ED6396">
        <w:rPr>
          <w:noProof w:val="0"/>
          <w:sz w:val="24"/>
          <w:szCs w:val="24"/>
        </w:rPr>
        <w:t>7</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144787">
        <w:rPr>
          <w:noProof w:val="0"/>
          <w:sz w:val="24"/>
          <w:szCs w:val="24"/>
        </w:rPr>
        <w:t>4377</w:t>
      </w:r>
    </w:p>
    <w:bookmarkEnd w:id="0"/>
    <w:p w14:paraId="328C958B" w14:textId="7E782625" w:rsidR="009D287D" w:rsidRPr="00484DBF" w:rsidRDefault="009443C0" w:rsidP="009D287D">
      <w:pPr>
        <w:pStyle w:val="Header"/>
        <w:tabs>
          <w:tab w:val="left" w:pos="2410"/>
        </w:tabs>
        <w:rPr>
          <w:rFonts w:eastAsia="MS Mincho"/>
          <w:sz w:val="24"/>
          <w:szCs w:val="24"/>
        </w:rPr>
      </w:pPr>
      <w:r>
        <w:rPr>
          <w:rFonts w:eastAsia="MS Mincho"/>
          <w:sz w:val="24"/>
          <w:szCs w:val="24"/>
        </w:rPr>
        <w:t>15</w:t>
      </w:r>
      <w:r w:rsidR="009D287D" w:rsidRPr="00843AA9">
        <w:rPr>
          <w:rFonts w:eastAsia="MS Mincho"/>
          <w:sz w:val="24"/>
          <w:szCs w:val="24"/>
        </w:rPr>
        <w:t xml:space="preserve"> – </w:t>
      </w:r>
      <w:r>
        <w:rPr>
          <w:rFonts w:eastAsia="MS Mincho"/>
          <w:sz w:val="24"/>
          <w:szCs w:val="24"/>
        </w:rPr>
        <w:t>2</w:t>
      </w:r>
      <w:r w:rsidR="00D65F39">
        <w:rPr>
          <w:rFonts w:eastAsia="MS Mincho"/>
          <w:sz w:val="24"/>
          <w:szCs w:val="24"/>
        </w:rPr>
        <w:t>4</w:t>
      </w:r>
      <w:r w:rsidR="009D287D" w:rsidRPr="00843AA9">
        <w:rPr>
          <w:rFonts w:eastAsia="MS Mincho"/>
          <w:sz w:val="24"/>
          <w:szCs w:val="24"/>
        </w:rPr>
        <w:t xml:space="preserve"> </w:t>
      </w:r>
      <w:r>
        <w:rPr>
          <w:rFonts w:eastAsia="MS Mincho"/>
          <w:sz w:val="24"/>
          <w:szCs w:val="24"/>
        </w:rPr>
        <w:t>August</w:t>
      </w:r>
      <w:r w:rsidR="009D287D" w:rsidRPr="00843AA9">
        <w:rPr>
          <w:rFonts w:eastAsia="MS Mincho"/>
          <w:sz w:val="24"/>
          <w:szCs w:val="24"/>
        </w:rPr>
        <w:t xml:space="preserve"> 2022</w:t>
      </w:r>
    </w:p>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1F698498"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Discussion on mobile IAB aspects</w:t>
      </w:r>
      <w:r w:rsidR="007E4EB8" w:rsidRPr="007E4EB8">
        <w:rPr>
          <w:rFonts w:cs="Arial"/>
          <w:b/>
          <w:bCs/>
          <w:sz w:val="24"/>
        </w:rPr>
        <w:t xml:space="preserve"> </w:t>
      </w:r>
      <w:r w:rsidR="00D91C92">
        <w:rPr>
          <w:rFonts w:cs="Arial"/>
          <w:b/>
          <w:bCs/>
          <w:sz w:val="24"/>
        </w:rPr>
        <w:t>based on dual-DU</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4E019EF7" w:rsidR="00E86720" w:rsidRDefault="006C3E34" w:rsidP="009443C0">
      <w:pPr>
        <w:spacing w:after="180"/>
        <w:jc w:val="left"/>
      </w:pPr>
      <w:r>
        <w:t>This contribution discusses the</w:t>
      </w:r>
      <w:r w:rsidR="007A2B07">
        <w:t xml:space="preserve"> full IAB-DU migration based on dual-DU. </w:t>
      </w:r>
      <w:r w:rsidR="00C67941">
        <w:t xml:space="preserve">This can also be used when a dedicated </w:t>
      </w:r>
      <w:proofErr w:type="spellStart"/>
      <w:r w:rsidR="00C67941">
        <w:t>gNB</w:t>
      </w:r>
      <w:proofErr w:type="spellEnd"/>
      <w:r w:rsidR="00C67941">
        <w:t xml:space="preserve">-CU is used, i.e. m-CU. </w:t>
      </w:r>
    </w:p>
    <w:p w14:paraId="3E5215A7" w14:textId="6E158819" w:rsidR="009443C0" w:rsidRDefault="009443C0">
      <w:pPr>
        <w:overflowPunct/>
        <w:autoSpaceDE/>
        <w:autoSpaceDN/>
        <w:adjustRightInd/>
        <w:spacing w:after="0"/>
        <w:jc w:val="left"/>
        <w:textAlignment w:val="auto"/>
      </w:pPr>
    </w:p>
    <w:p w14:paraId="37869C79" w14:textId="7EC013BD" w:rsidR="009443C0" w:rsidRDefault="00E86720" w:rsidP="009443C0">
      <w:pPr>
        <w:pStyle w:val="Heading1"/>
      </w:pPr>
      <w:r>
        <w:t>Discussion</w:t>
      </w:r>
    </w:p>
    <w:p w14:paraId="53060E3B" w14:textId="40BF92D4" w:rsidR="001712FF" w:rsidRDefault="00445FBE" w:rsidP="001712FF">
      <w:r>
        <w:t>In case full migration need to be supported, the full migration may only be supported when the IAB has 2</w:t>
      </w:r>
      <w:r w:rsidR="001712FF">
        <w:t xml:space="preserve"> IAB-DUs, i.e. the 1</w:t>
      </w:r>
      <w:r w:rsidR="001712FF" w:rsidRPr="00E62C10">
        <w:rPr>
          <w:vertAlign w:val="superscript"/>
        </w:rPr>
        <w:t>st</w:t>
      </w:r>
      <w:r w:rsidR="001712FF">
        <w:t xml:space="preserve"> IAB-DU (e.g. IAB-DU1) for F1-C connection with Source Donor, and the 2</w:t>
      </w:r>
      <w:r w:rsidR="001712FF" w:rsidRPr="00E62C10">
        <w:rPr>
          <w:vertAlign w:val="superscript"/>
        </w:rPr>
        <w:t>nd</w:t>
      </w:r>
      <w:r w:rsidR="001712FF">
        <w:t xml:space="preserve"> IAB-DU (e.g. IAB-DU2) for F1-C connecting with Target Donor. The migration procedure may include intermediate stage. This was discussed in contribution (</w:t>
      </w:r>
      <w:r w:rsidR="00640890">
        <w:fldChar w:fldCharType="begin"/>
      </w:r>
      <w:r w:rsidR="00640890">
        <w:instrText xml:space="preserve"> REF _Ref110516435 \r \h </w:instrText>
      </w:r>
      <w:r w:rsidR="00640890">
        <w:fldChar w:fldCharType="separate"/>
      </w:r>
      <w:r w:rsidR="000243BC">
        <w:t>[2]</w:t>
      </w:r>
      <w:r w:rsidR="00640890">
        <w:fldChar w:fldCharType="end"/>
      </w:r>
      <w:r w:rsidR="001712FF">
        <w:t>), which is copied as below:</w:t>
      </w:r>
    </w:p>
    <w:p w14:paraId="2A5CC64D" w14:textId="77777777" w:rsidR="001712FF" w:rsidRDefault="001712FF" w:rsidP="001712FF">
      <w:pPr>
        <w:keepNext/>
        <w:jc w:val="center"/>
      </w:pPr>
      <w:r w:rsidRPr="002504FE">
        <w:rPr>
          <w:noProof/>
        </w:rPr>
        <w:drawing>
          <wp:inline distT="0" distB="0" distL="0" distR="0" wp14:anchorId="34EE94B6" wp14:editId="3FCBEB73">
            <wp:extent cx="6120765" cy="3044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44303BC8" w14:textId="5191A31F" w:rsidR="001712FF" w:rsidRDefault="00B53227" w:rsidP="00B53227">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0243BC">
        <w:rPr>
          <w:b w:val="0"/>
          <w:bCs w:val="0"/>
          <w:noProof/>
        </w:rPr>
        <w:t>1</w:t>
      </w:r>
      <w:r w:rsidRPr="00640C1B">
        <w:rPr>
          <w:b w:val="0"/>
          <w:bCs w:val="0"/>
        </w:rPr>
        <w:fldChar w:fldCharType="end"/>
      </w:r>
      <w:r w:rsidRPr="00640C1B">
        <w:rPr>
          <w:b w:val="0"/>
          <w:bCs w:val="0"/>
          <w:lang w:val="en-US"/>
        </w:rPr>
        <w:t xml:space="preserve">: </w:t>
      </w:r>
      <w:r w:rsidR="001712FF" w:rsidRPr="00BF72BA">
        <w:rPr>
          <w:b w:val="0"/>
          <w:bCs w:val="0"/>
        </w:rPr>
        <w:t xml:space="preserve">Options for migration of </w:t>
      </w:r>
      <w:r w:rsidR="001712FF">
        <w:rPr>
          <w:b w:val="0"/>
          <w:bCs w:val="0"/>
        </w:rPr>
        <w:t>IAB-</w:t>
      </w:r>
      <w:r w:rsidR="001712FF" w:rsidRPr="00BF72BA">
        <w:rPr>
          <w:b w:val="0"/>
          <w:bCs w:val="0"/>
        </w:rPr>
        <w:t xml:space="preserve">MT3 and UE to </w:t>
      </w:r>
      <w:r w:rsidR="001712FF">
        <w:rPr>
          <w:b w:val="0"/>
          <w:bCs w:val="0"/>
        </w:rPr>
        <w:t>IAB-</w:t>
      </w:r>
      <w:r w:rsidR="001712FF" w:rsidRPr="00BF72BA">
        <w:rPr>
          <w:b w:val="0"/>
          <w:bCs w:val="0"/>
        </w:rPr>
        <w:t>donor-CU2</w:t>
      </w:r>
    </w:p>
    <w:p w14:paraId="55F4EA63" w14:textId="77777777" w:rsidR="00926DC9" w:rsidRDefault="00926DC9" w:rsidP="001712FF"/>
    <w:p w14:paraId="09725043" w14:textId="4CC1F048" w:rsidR="001712FF" w:rsidRDefault="00BE79D8" w:rsidP="001712FF">
      <w:r>
        <w:t>T</w:t>
      </w:r>
      <w:r w:rsidR="001712FF">
        <w:t>he HO procedure for the IAB-MT can be based on the existing HO procedure. For moving the UE context from the source Donor to target Donor, the source Donor can initiate the HO procedure for each UE and descendant IAB-MT. Both “Source F1-C” between the 1</w:t>
      </w:r>
      <w:r w:rsidR="001712FF" w:rsidRPr="0041319B">
        <w:rPr>
          <w:vertAlign w:val="superscript"/>
        </w:rPr>
        <w:t>st</w:t>
      </w:r>
      <w:r w:rsidR="001712FF">
        <w:t xml:space="preserve"> DU of the migrating IAB-DU and source Donor, and “Target F1-C” between the 2</w:t>
      </w:r>
      <w:r w:rsidR="001712FF" w:rsidRPr="0041319B">
        <w:rPr>
          <w:vertAlign w:val="superscript"/>
        </w:rPr>
        <w:t>nd</w:t>
      </w:r>
      <w:r w:rsidR="001712FF">
        <w:t xml:space="preserve"> DU of the migrating IAB-DU and target Donor are simultaneously active. </w:t>
      </w:r>
    </w:p>
    <w:p w14:paraId="017DBD56" w14:textId="7A401BA7" w:rsidR="001712FF" w:rsidRDefault="001712FF" w:rsidP="001712FF">
      <w:r>
        <w:t xml:space="preserve">In intermediate stage Option 1, </w:t>
      </w:r>
      <w:r w:rsidR="006E49A4">
        <w:t xml:space="preserve">Rel-17 partial migration is first performed. </w:t>
      </w:r>
      <w:r w:rsidR="00AD679B">
        <w:t>T</w:t>
      </w:r>
      <w:r>
        <w:t>he IAB-MT is first HO to target and the “Source F1” established between the 1</w:t>
      </w:r>
      <w:r w:rsidRPr="000E5954">
        <w:rPr>
          <w:vertAlign w:val="superscript"/>
        </w:rPr>
        <w:t>st</w:t>
      </w:r>
      <w:r>
        <w:t xml:space="preserve"> DU and Source Donor is rerouted via the target path. Both “Source F1” and “Target F1” are routed via target path. Source Donor may then initiate the HO procedure for the UE. An example call flow is shown as below:</w:t>
      </w:r>
    </w:p>
    <w:p w14:paraId="4FD5390C" w14:textId="77777777" w:rsidR="001712FF" w:rsidRDefault="001712FF" w:rsidP="001712FF">
      <w:r>
        <w:object w:dxaOrig="19336" w:dyaOrig="16171" w14:anchorId="371C7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5pt;height:404.35pt" o:ole="">
            <v:imagedata r:id="rId14" o:title=""/>
          </v:shape>
          <o:OLEObject Type="Embed" ProgID="Visio.Drawing.15" ShapeID="_x0000_i1025" DrawAspect="Content" ObjectID="_1721564221" r:id="rId15"/>
        </w:object>
      </w:r>
    </w:p>
    <w:p w14:paraId="41FA7307" w14:textId="28C46B24" w:rsidR="001712FF" w:rsidRPr="00640C1B" w:rsidRDefault="001712FF" w:rsidP="001712FF">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0243BC">
        <w:rPr>
          <w:noProof/>
        </w:rPr>
        <w:t>2</w:t>
      </w:r>
      <w:r w:rsidRPr="00640C1B">
        <w:rPr>
          <w:b/>
          <w:bCs/>
        </w:rPr>
        <w:fldChar w:fldCharType="end"/>
      </w:r>
      <w:r w:rsidRPr="00640C1B">
        <w:rPr>
          <w:lang w:val="en-US"/>
        </w:rPr>
        <w:t xml:space="preserve">: Example for </w:t>
      </w:r>
      <w:r>
        <w:rPr>
          <w:lang w:val="en-US"/>
        </w:rPr>
        <w:t>TA call flow via intermediate stage option 1</w:t>
      </w:r>
    </w:p>
    <w:p w14:paraId="401BA78A" w14:textId="77777777" w:rsidR="001712FF" w:rsidRDefault="001712FF" w:rsidP="001712FF">
      <w:pPr>
        <w:pStyle w:val="ListParagraph"/>
        <w:numPr>
          <w:ilvl w:val="0"/>
          <w:numId w:val="34"/>
        </w:numPr>
      </w:pPr>
      <w:r>
        <w:t xml:space="preserve">Step 1-7: HO procedure for IAB-MT. </w:t>
      </w:r>
    </w:p>
    <w:p w14:paraId="7FF7245B" w14:textId="77777777" w:rsidR="001712FF" w:rsidRDefault="001712FF" w:rsidP="001712FF">
      <w:pPr>
        <w:pStyle w:val="ListParagraph"/>
        <w:numPr>
          <w:ilvl w:val="0"/>
          <w:numId w:val="34"/>
        </w:numPr>
      </w:pPr>
      <w:r>
        <w:t>Step 8: new IPSec tunnel establishment over target path.</w:t>
      </w:r>
    </w:p>
    <w:p w14:paraId="473AC559" w14:textId="77777777" w:rsidR="001712FF" w:rsidRDefault="001712FF" w:rsidP="001712FF">
      <w:pPr>
        <w:pStyle w:val="ListParagraph"/>
        <w:numPr>
          <w:ilvl w:val="0"/>
          <w:numId w:val="34"/>
        </w:numPr>
      </w:pPr>
      <w:r>
        <w:t>Step 9: move the “Source F1” to target path. The 1</w:t>
      </w:r>
      <w:r w:rsidRPr="00CB552C">
        <w:rPr>
          <w:vertAlign w:val="superscript"/>
        </w:rPr>
        <w:t>st</w:t>
      </w:r>
      <w:r>
        <w:t xml:space="preserve"> DU establish a new SCTP association and inform source Donor to use this new SCTP association. </w:t>
      </w:r>
    </w:p>
    <w:p w14:paraId="34B1BEC6" w14:textId="77777777" w:rsidR="001712FF" w:rsidRDefault="001712FF" w:rsidP="001712FF">
      <w:pPr>
        <w:pStyle w:val="ListParagraph"/>
        <w:numPr>
          <w:ilvl w:val="0"/>
          <w:numId w:val="34"/>
        </w:numPr>
      </w:pPr>
      <w:r>
        <w:t>Step 10: the 2</w:t>
      </w:r>
      <w:r w:rsidRPr="00CB552C">
        <w:rPr>
          <w:vertAlign w:val="superscript"/>
        </w:rPr>
        <w:t>nd</w:t>
      </w:r>
      <w:r>
        <w:t xml:space="preserve"> DU establish the F1 with target Donor. This may also be performed via source path before the HO procedure for IAB-MT. </w:t>
      </w:r>
    </w:p>
    <w:p w14:paraId="21F08ACC" w14:textId="77777777" w:rsidR="001712FF" w:rsidRDefault="001712FF" w:rsidP="001712FF">
      <w:pPr>
        <w:pStyle w:val="ListParagraph"/>
        <w:numPr>
          <w:ilvl w:val="0"/>
          <w:numId w:val="34"/>
        </w:numPr>
      </w:pPr>
      <w:r>
        <w:t xml:space="preserve">Step 11: Target Donor send UE Context Release to Source Donor. Up to the implementation, Source Donor may not need to immediately remove the context for the IAB. </w:t>
      </w:r>
    </w:p>
    <w:p w14:paraId="240977EC" w14:textId="77777777" w:rsidR="001712FF" w:rsidRDefault="001712FF" w:rsidP="001712FF">
      <w:pPr>
        <w:pStyle w:val="ListParagraph"/>
        <w:numPr>
          <w:ilvl w:val="0"/>
          <w:numId w:val="34"/>
        </w:numPr>
      </w:pPr>
      <w:r>
        <w:t>Step 12: Source Donor initiate the HO procedure for the UE. Due to the use of the 2</w:t>
      </w:r>
      <w:r w:rsidRPr="00CA40DC">
        <w:rPr>
          <w:vertAlign w:val="superscript"/>
        </w:rPr>
        <w:t>nd</w:t>
      </w:r>
      <w:r>
        <w:t xml:space="preserve"> DU, the UE context establishment can be performed with current F1AP procedure. </w:t>
      </w:r>
    </w:p>
    <w:p w14:paraId="1A4A5AF9" w14:textId="77777777" w:rsidR="001712FF" w:rsidRDefault="001712FF" w:rsidP="001712FF">
      <w:pPr>
        <w:pStyle w:val="ListParagraph"/>
        <w:numPr>
          <w:ilvl w:val="0"/>
          <w:numId w:val="34"/>
        </w:numPr>
      </w:pPr>
      <w:r>
        <w:t>Step 13: UE connect with target DU (i.e. the 2</w:t>
      </w:r>
      <w:r w:rsidRPr="00FB234A">
        <w:rPr>
          <w:vertAlign w:val="superscript"/>
        </w:rPr>
        <w:t>nd</w:t>
      </w:r>
      <w:r>
        <w:t xml:space="preserve"> DU in the IAB). </w:t>
      </w:r>
    </w:p>
    <w:p w14:paraId="6A5F2291" w14:textId="6EC6DED9" w:rsidR="00BC40BE" w:rsidRDefault="00BC40BE" w:rsidP="001712FF">
      <w:r>
        <w:t>In Option 1, the “new F1” between the 2</w:t>
      </w:r>
      <w:r w:rsidRPr="00BC40BE">
        <w:rPr>
          <w:vertAlign w:val="superscript"/>
        </w:rPr>
        <w:t>nd</w:t>
      </w:r>
      <w:r>
        <w:t xml:space="preserve"> DU and target IAB-donor is setup after the migration IAB-MT is HO to target IAB-donor. There is a possibility that the “new F1” setup may fail for various reasons. If it happens, the full migration cannot be performed. </w:t>
      </w:r>
      <w:r w:rsidR="00B01BAF">
        <w:t xml:space="preserve">Since the migration for the connected UE is initiated by the source IAB-donor-CU, so source IAB-donor need to know whether the “target F1” is ready. </w:t>
      </w:r>
      <w:r w:rsidR="000633A1">
        <w:t>This also happens for Option 2</w:t>
      </w:r>
      <w:r w:rsidR="0000550E">
        <w:t>, even the migration IAB-MT is performed after the “new F1” is setup</w:t>
      </w:r>
      <w:r w:rsidR="000633A1">
        <w:t xml:space="preserve">. </w:t>
      </w:r>
    </w:p>
    <w:p w14:paraId="3CDAB02C" w14:textId="77777777" w:rsidR="00BC40BE" w:rsidRDefault="00BC40BE" w:rsidP="001712FF"/>
    <w:p w14:paraId="4766A09A" w14:textId="578C4D7A" w:rsidR="001712FF" w:rsidRDefault="003501A5" w:rsidP="001712FF">
      <w:r>
        <w:t>F</w:t>
      </w:r>
      <w:r w:rsidR="001712FF">
        <w:t>ollowing aspects need to be studied:</w:t>
      </w:r>
    </w:p>
    <w:p w14:paraId="5B8FB26B" w14:textId="32BCA7C3" w:rsidR="0080631F" w:rsidRDefault="0080631F" w:rsidP="001712FF">
      <w:pPr>
        <w:pStyle w:val="ListParagraph"/>
        <w:numPr>
          <w:ilvl w:val="0"/>
          <w:numId w:val="34"/>
        </w:numPr>
      </w:pPr>
      <w:r>
        <w:t>How to configure DU2</w:t>
      </w:r>
    </w:p>
    <w:p w14:paraId="0A7CA51B" w14:textId="7FB60167" w:rsidR="0080631F" w:rsidRDefault="0080631F" w:rsidP="0080631F">
      <w:pPr>
        <w:pStyle w:val="ListParagraph"/>
      </w:pPr>
      <w:r>
        <w:t>We think DU2 can be configured as Rel-16/17</w:t>
      </w:r>
      <w:r w:rsidR="00966A27">
        <w:t xml:space="preserve"> IAB</w:t>
      </w:r>
      <w:r>
        <w:t xml:space="preserve">. Once the IAB-MT has a connection available for OAM, DU2 can initiate a connection with OAM server. This may be performed before or after IAB-MT </w:t>
      </w:r>
      <w:r>
        <w:lastRenderedPageBreak/>
        <w:t xml:space="preserve">migrate to target parent. Similar as Rel-16/17, DU2 need to provide the information of the IAB-donor that it intends to setup F1, so OAM server can configure the cell ID, PCI, etc. </w:t>
      </w:r>
    </w:p>
    <w:p w14:paraId="16D0D46F" w14:textId="64725454" w:rsidR="0080631F" w:rsidRDefault="0080631F" w:rsidP="0080631F">
      <w:pPr>
        <w:pStyle w:val="ListParagraph"/>
      </w:pPr>
    </w:p>
    <w:p w14:paraId="61EC2837" w14:textId="1FCD2A96" w:rsidR="00DF6DD9" w:rsidRDefault="00DF6DD9" w:rsidP="005B3B55">
      <w:pPr>
        <w:pStyle w:val="ListParagraph"/>
      </w:pPr>
      <w:r>
        <w:t xml:space="preserve">The NR Cell Identity (NCI) is related to the gNB-ID, i.e. </w:t>
      </w:r>
      <w:r w:rsidRPr="00B3541A">
        <w:t>The leftmost bits of the NR Cell Identity correspond to the gNB ID</w:t>
      </w:r>
      <w:r>
        <w:t>. After the IAB perform the inter-Donor migration, the IAB need to use cell NCIs that are related to target Donor. Traditionally, the OAM configures the gNB-DU for the NCIs to be used by the gNB-DU’s cells. The IAB node may provide Target Donor information the OAM server, so OAM server configures IAB node with the new NCI to be used after IAB node is successfully connected with Target Donor. There may be the case that the IAB node has more than one neighbour Donor. The Source Donor may initiate multiple HO preparation procedure for the IAB node, e.g. one HO preparation per neighbour Donor. The actual target Donor is only known after the IAB-MT successfully connected to target cell, which means the IAB node only know the new NCI after the IAB is successfully connected with Target Donor.</w:t>
      </w:r>
      <w:r w:rsidR="00F629F3">
        <w:t xml:space="preserve"> </w:t>
      </w:r>
      <w:r w:rsidR="00773CF7">
        <w:t xml:space="preserve">Other option may be target Donor allocate the new cell ID, and provide the new cell ID to the IAB node via the RRCReconfiguration message. </w:t>
      </w:r>
      <w:r w:rsidR="00F629F3">
        <w:t xml:space="preserve">This needs to be considered </w:t>
      </w:r>
      <w:r w:rsidR="00760527">
        <w:t>for OAM configuration</w:t>
      </w:r>
      <w:r w:rsidR="00494601">
        <w:t>.</w:t>
      </w:r>
      <w:r>
        <w:t xml:space="preserve"> </w:t>
      </w:r>
    </w:p>
    <w:p w14:paraId="5A3E4DA3" w14:textId="77777777" w:rsidR="00DF6DD9" w:rsidRPr="00E97C5B" w:rsidRDefault="00DF6DD9" w:rsidP="00DF6DD9">
      <w:pPr>
        <w:pStyle w:val="ListParagraph"/>
        <w:rPr>
          <w:i/>
          <w:iCs/>
        </w:rPr>
      </w:pPr>
    </w:p>
    <w:p w14:paraId="111A0897" w14:textId="13A7CFE3" w:rsidR="0080631F" w:rsidRDefault="0080631F" w:rsidP="0080631F">
      <w:pPr>
        <w:pStyle w:val="ListParagraph"/>
        <w:rPr>
          <w:b/>
          <w:bCs/>
        </w:rPr>
      </w:pPr>
      <w:r>
        <w:rPr>
          <w:b/>
          <w:bCs/>
        </w:rPr>
        <w:t xml:space="preserve">Proposal </w:t>
      </w:r>
      <w:r w:rsidR="002E349F">
        <w:rPr>
          <w:b/>
          <w:bCs/>
        </w:rPr>
        <w:t>1</w:t>
      </w:r>
      <w:r>
        <w:rPr>
          <w:b/>
          <w:bCs/>
        </w:rPr>
        <w:t>: DU2 is configured by OAM (</w:t>
      </w:r>
      <w:r w:rsidR="009B6EC9">
        <w:rPr>
          <w:b/>
          <w:bCs/>
        </w:rPr>
        <w:t>same</w:t>
      </w:r>
      <w:r>
        <w:rPr>
          <w:b/>
          <w:bCs/>
        </w:rPr>
        <w:t xml:space="preserve"> </w:t>
      </w:r>
      <w:r w:rsidR="009B6EC9">
        <w:rPr>
          <w:b/>
          <w:bCs/>
        </w:rPr>
        <w:t xml:space="preserve">as </w:t>
      </w:r>
      <w:r>
        <w:rPr>
          <w:b/>
          <w:bCs/>
        </w:rPr>
        <w:t xml:space="preserve">Rel-16/17 </w:t>
      </w:r>
      <w:r w:rsidR="009B6EC9">
        <w:rPr>
          <w:b/>
          <w:bCs/>
        </w:rPr>
        <w:t>IAB-DU configuration</w:t>
      </w:r>
      <w:r>
        <w:rPr>
          <w:b/>
          <w:bCs/>
        </w:rPr>
        <w:t>)</w:t>
      </w:r>
    </w:p>
    <w:p w14:paraId="46FA8792" w14:textId="77777777" w:rsidR="0080631F" w:rsidRDefault="0080631F" w:rsidP="0080631F">
      <w:pPr>
        <w:pStyle w:val="ListParagraph"/>
      </w:pPr>
    </w:p>
    <w:p w14:paraId="739D29D5" w14:textId="57B5F08D" w:rsidR="001712FF" w:rsidRDefault="0080631F" w:rsidP="001712FF">
      <w:pPr>
        <w:pStyle w:val="ListParagraph"/>
        <w:numPr>
          <w:ilvl w:val="0"/>
          <w:numId w:val="34"/>
        </w:numPr>
      </w:pPr>
      <w:r>
        <w:t>How can source IAB-donor-CU know when it can initiate the migration for the connected UE</w:t>
      </w:r>
      <w:r w:rsidR="001712FF">
        <w:t xml:space="preserve"> </w:t>
      </w:r>
    </w:p>
    <w:p w14:paraId="79DA2F08" w14:textId="2BC5ABBD" w:rsidR="00407C90" w:rsidRDefault="00407C90" w:rsidP="00407C90">
      <w:pPr>
        <w:pStyle w:val="ListParagraph"/>
      </w:pPr>
      <w:r>
        <w:t xml:space="preserve">Source IAB-donor-CU can only initiate the UE migration after target F1 is ready. </w:t>
      </w:r>
      <w:r w:rsidR="009C6AE7">
        <w:t>Only D</w:t>
      </w:r>
      <w:r w:rsidR="00FA1077">
        <w:t>U2</w:t>
      </w:r>
      <w:r w:rsidR="009C6AE7">
        <w:t xml:space="preserve"> and target IAB-donor-CU know whether the F1 is setup or not. </w:t>
      </w:r>
      <w:r w:rsidR="00FA1077">
        <w:t xml:space="preserve">Since DU1, IAB-MT and DU2 are co-located, IAB-MT and DU1 can also implicitly know the F1 setup result. </w:t>
      </w:r>
    </w:p>
    <w:p w14:paraId="78BE959E" w14:textId="427EBF04" w:rsidR="00FA1077" w:rsidRDefault="00FA1077" w:rsidP="00407C90">
      <w:pPr>
        <w:pStyle w:val="ListParagraph"/>
      </w:pPr>
    </w:p>
    <w:p w14:paraId="1372D698" w14:textId="471AC0F4" w:rsidR="00FA1077" w:rsidRPr="00AE2A62" w:rsidRDefault="00FA1077" w:rsidP="00407C90">
      <w:pPr>
        <w:pStyle w:val="ListParagraph"/>
        <w:rPr>
          <w:b/>
          <w:bCs/>
        </w:rPr>
      </w:pPr>
      <w:r w:rsidRPr="00AE2A62">
        <w:rPr>
          <w:b/>
          <w:bCs/>
        </w:rPr>
        <w:t xml:space="preserve">Proposal </w:t>
      </w:r>
      <w:r w:rsidR="00AE2A62" w:rsidRPr="00AE2A62">
        <w:rPr>
          <w:b/>
          <w:bCs/>
        </w:rPr>
        <w:t xml:space="preserve">2: </w:t>
      </w:r>
      <w:r w:rsidR="00AE2A62">
        <w:rPr>
          <w:b/>
          <w:bCs/>
        </w:rPr>
        <w:t>RAN3 study how source IAB-donor-CU know target F1</w:t>
      </w:r>
      <w:r w:rsidR="00D305F5">
        <w:rPr>
          <w:b/>
          <w:bCs/>
        </w:rPr>
        <w:t xml:space="preserve"> </w:t>
      </w:r>
      <w:r w:rsidR="00AE2A62">
        <w:rPr>
          <w:b/>
          <w:bCs/>
        </w:rPr>
        <w:t>is ready, and consider the option that source IAB-donor-CU know it from the migrating IAB or from target IAB-donor-CU.</w:t>
      </w:r>
    </w:p>
    <w:p w14:paraId="335AD0CA" w14:textId="77777777" w:rsidR="001712FF" w:rsidRDefault="001712FF" w:rsidP="001712FF">
      <w:pPr>
        <w:pStyle w:val="ListParagraph"/>
      </w:pPr>
    </w:p>
    <w:p w14:paraId="3E08A123" w14:textId="77777777" w:rsidR="001712FF" w:rsidRDefault="001712FF" w:rsidP="001712FF">
      <w:pPr>
        <w:pStyle w:val="ListParagraph"/>
        <w:numPr>
          <w:ilvl w:val="0"/>
          <w:numId w:val="34"/>
        </w:numPr>
      </w:pPr>
      <w:r>
        <w:t>Handover preparation procedure for the UE.</w:t>
      </w:r>
    </w:p>
    <w:p w14:paraId="780F8307" w14:textId="77777777" w:rsidR="00A077FE" w:rsidRDefault="00A077FE" w:rsidP="00A077FE">
      <w:pPr>
        <w:pStyle w:val="ListParagraph"/>
      </w:pPr>
    </w:p>
    <w:p w14:paraId="571FAAD0" w14:textId="61E5EBE9" w:rsidR="0080631F" w:rsidRDefault="001712FF" w:rsidP="001712FF">
      <w:pPr>
        <w:pStyle w:val="ListParagraph"/>
      </w:pPr>
      <w:r>
        <w:t xml:space="preserve">In current HO Request message, the target cell ID is mandatory. </w:t>
      </w:r>
      <w:r w:rsidR="00053EF3">
        <w:t xml:space="preserve">The migrating IAB may have multiple cells. </w:t>
      </w:r>
      <w:r w:rsidR="007D1106">
        <w:t>Each DU1’s cell will have a correspond DU2’s cell. To initiate the handover preparation procedure for the connected UE, source IAB-donor-CU need to know the target cell of corresponds to the DU2’s cell. In case the DU2 is configured as normal IAB, e.g. the PCI, NCGI, etc</w:t>
      </w:r>
      <w:r w:rsidR="0080631F">
        <w:t>.</w:t>
      </w:r>
      <w:r w:rsidR="007D1106">
        <w:t xml:space="preserve"> </w:t>
      </w:r>
      <w:r w:rsidR="0080631F">
        <w:t>After the F1 is setup between DU2 and target Donor-CU, DU2 can inform the co</w:t>
      </w:r>
      <w:r w:rsidR="00943EE5">
        <w:t>-</w:t>
      </w:r>
      <w:r w:rsidR="0080631F">
        <w:t xml:space="preserve">located DU1 that the new F1 is ready, and also inform DU1 for the new cell information. IAB-DU1 may then inform IAB-donor-CU1 that new F1 is ready with target IAB-donor and the new cell information. So IAB-donor-CU1 can know the new cell ID to be used as target cell ID </w:t>
      </w:r>
      <w:r w:rsidR="003D0FD0">
        <w:t>before initiate</w:t>
      </w:r>
      <w:r w:rsidR="0080631F">
        <w:t xml:space="preserve"> the handover preparation procedure for the UE.</w:t>
      </w:r>
      <w:r w:rsidR="00460EFF">
        <w:t xml:space="preserve"> An example call flow is shown below.</w:t>
      </w:r>
    </w:p>
    <w:p w14:paraId="20E32FD8" w14:textId="77777777" w:rsidR="0080631F" w:rsidRDefault="0080631F" w:rsidP="001712FF">
      <w:pPr>
        <w:pStyle w:val="ListParagraph"/>
      </w:pPr>
    </w:p>
    <w:p w14:paraId="39A107F5" w14:textId="71BB189F" w:rsidR="007D1106" w:rsidRDefault="007D1106" w:rsidP="001712FF">
      <w:pPr>
        <w:pStyle w:val="ListParagraph"/>
      </w:pPr>
    </w:p>
    <w:p w14:paraId="31AC7BB5" w14:textId="51123A9C" w:rsidR="007D1106" w:rsidRDefault="000243BC" w:rsidP="001712FF">
      <w:pPr>
        <w:pStyle w:val="ListParagraph"/>
      </w:pPr>
      <w:r>
        <w:object w:dxaOrig="23821" w:dyaOrig="9091" w14:anchorId="29D55E43">
          <v:shape id="_x0000_i1026" type="#_x0000_t75" style="width:414.6pt;height:158.35pt" o:ole="">
            <v:imagedata r:id="rId16" o:title=""/>
          </v:shape>
          <o:OLEObject Type="Embed" ProgID="Visio.Drawing.15" ShapeID="_x0000_i1026" DrawAspect="Content" ObjectID="_1721564222" r:id="rId17"/>
        </w:object>
      </w:r>
    </w:p>
    <w:p w14:paraId="43DA3E4E" w14:textId="33FE5EC6" w:rsidR="000243BC" w:rsidRPr="00640C1B" w:rsidRDefault="000243BC" w:rsidP="000243BC">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3</w:t>
      </w:r>
      <w:r w:rsidRPr="00640C1B">
        <w:rPr>
          <w:b/>
          <w:bCs/>
        </w:rPr>
        <w:fldChar w:fldCharType="end"/>
      </w:r>
      <w:r w:rsidRPr="00640C1B">
        <w:rPr>
          <w:lang w:val="en-US"/>
        </w:rPr>
        <w:t xml:space="preserve">: Example for </w:t>
      </w:r>
      <w:r>
        <w:rPr>
          <w:lang w:val="en-US"/>
        </w:rPr>
        <w:t>source Donor-CU know the target cell ID</w:t>
      </w:r>
    </w:p>
    <w:p w14:paraId="41986D01" w14:textId="10521825" w:rsidR="007D1106" w:rsidRDefault="002B406D" w:rsidP="001712FF">
      <w:pPr>
        <w:pStyle w:val="ListParagraph"/>
      </w:pPr>
      <w:r>
        <w:t xml:space="preserve">In other option, </w:t>
      </w:r>
      <w:r w:rsidR="00407C90">
        <w:t xml:space="preserve">DU2’s cell ID may be assigned by target IAB-donor. For example, during the handover preparation procedure for the migrating IAB, </w:t>
      </w:r>
      <w:r>
        <w:t>source IAB-donor can send the DU1’s cell ID to target IAB-donor</w:t>
      </w:r>
      <w:r w:rsidR="00407C90">
        <w:t xml:space="preserve">, then target IAB-donor reply with the new cell ID for each DU1’s cell. </w:t>
      </w:r>
    </w:p>
    <w:p w14:paraId="3AD9FBB5" w14:textId="77777777" w:rsidR="007D1106" w:rsidRDefault="007D1106" w:rsidP="001712FF">
      <w:pPr>
        <w:pStyle w:val="ListParagraph"/>
      </w:pPr>
    </w:p>
    <w:p w14:paraId="40B1B612" w14:textId="06DD2D51" w:rsidR="00856208" w:rsidRPr="00AE2A62" w:rsidRDefault="00856208" w:rsidP="00856208">
      <w:pPr>
        <w:pStyle w:val="ListParagraph"/>
        <w:rPr>
          <w:b/>
          <w:bCs/>
        </w:rPr>
      </w:pPr>
      <w:r w:rsidRPr="00AE2A62">
        <w:rPr>
          <w:b/>
          <w:bCs/>
        </w:rPr>
        <w:lastRenderedPageBreak/>
        <w:t xml:space="preserve">Proposal </w:t>
      </w:r>
      <w:r>
        <w:rPr>
          <w:b/>
          <w:bCs/>
        </w:rPr>
        <w:t>3</w:t>
      </w:r>
      <w:r w:rsidRPr="00AE2A62">
        <w:rPr>
          <w:b/>
          <w:bCs/>
        </w:rPr>
        <w:t xml:space="preserve">: </w:t>
      </w:r>
      <w:r>
        <w:rPr>
          <w:b/>
          <w:bCs/>
        </w:rPr>
        <w:t>RAN3 study how source IAB-donor-CU know the target cell ID for a UE, and consider the option that source IAB-donor-CU know it from the migrating IAB</w:t>
      </w:r>
      <w:r w:rsidR="00E309D2">
        <w:rPr>
          <w:b/>
          <w:bCs/>
        </w:rPr>
        <w:t>-DU</w:t>
      </w:r>
      <w:r>
        <w:rPr>
          <w:b/>
          <w:bCs/>
        </w:rPr>
        <w:t xml:space="preserve"> or from target IAB-donor-CU.</w:t>
      </w:r>
    </w:p>
    <w:p w14:paraId="3A7230C9" w14:textId="77777777" w:rsidR="00F37F46" w:rsidRDefault="00F37F46" w:rsidP="001712FF">
      <w:pPr>
        <w:pStyle w:val="ListParagraph"/>
      </w:pPr>
    </w:p>
    <w:p w14:paraId="012D49AC" w14:textId="77777777" w:rsidR="001712FF" w:rsidRDefault="001712FF" w:rsidP="001712FF">
      <w:pPr>
        <w:pStyle w:val="ListParagraph"/>
        <w:numPr>
          <w:ilvl w:val="0"/>
          <w:numId w:val="34"/>
        </w:numPr>
      </w:pPr>
      <w:r>
        <w:t>Signaling storm for the signalling related to the UE</w:t>
      </w:r>
      <w:r w:rsidRPr="00E82F93">
        <w:t xml:space="preserve"> </w:t>
      </w:r>
    </w:p>
    <w:p w14:paraId="417001BC" w14:textId="77777777" w:rsidR="001712FF" w:rsidRDefault="001712FF" w:rsidP="001712FF">
      <w:pPr>
        <w:pStyle w:val="ListParagraph"/>
      </w:pPr>
      <w:r>
        <w:t xml:space="preserve">In this option, the normal F1 UE Context Setup procedure can be used to setup the F1AP UE context </w:t>
      </w:r>
    </w:p>
    <w:p w14:paraId="00FF5042" w14:textId="77777777" w:rsidR="001712FF" w:rsidRDefault="001712FF" w:rsidP="001712FF">
      <w:pPr>
        <w:pStyle w:val="ListParagraph"/>
      </w:pPr>
      <w:r>
        <w:t xml:space="preserve">F1AP Context in target Donor. In case of there are many UEs connected to the IAB node, this may cause signalling storm. Further study is needed to reduce the signalling storm, e.g. transfer the F1AP UE context from source Donor to target Donor, Target Donor only need initiate the UE Context Update procedure in case target Donor change the related UE context. </w:t>
      </w:r>
    </w:p>
    <w:p w14:paraId="12CC43D5" w14:textId="77777777" w:rsidR="004656CC" w:rsidRDefault="004656CC" w:rsidP="001712FF">
      <w:pPr>
        <w:pStyle w:val="ListParagraph"/>
      </w:pPr>
    </w:p>
    <w:p w14:paraId="25DFAD8B" w14:textId="6D805DD5" w:rsidR="004656CC" w:rsidRDefault="004656CC" w:rsidP="001712FF">
      <w:pPr>
        <w:pStyle w:val="ListParagraph"/>
      </w:pPr>
      <w:r>
        <w:t xml:space="preserve">This issue may need to be discussed in Agenda Item </w:t>
      </w:r>
      <w:r w:rsidR="00E636ED">
        <w:t>13.3 Mobility Enhancements.</w:t>
      </w:r>
    </w:p>
    <w:p w14:paraId="2F1AD81F" w14:textId="77777777" w:rsidR="00903F66" w:rsidRDefault="00903F66" w:rsidP="001712FF">
      <w:pPr>
        <w:pStyle w:val="ListParagraph"/>
      </w:pPr>
    </w:p>
    <w:p w14:paraId="5DB6B370" w14:textId="72F071A7" w:rsidR="001712FF" w:rsidRPr="00903F66" w:rsidRDefault="00903F66" w:rsidP="00903F66">
      <w:pPr>
        <w:pStyle w:val="ListParagraph"/>
        <w:numPr>
          <w:ilvl w:val="0"/>
          <w:numId w:val="34"/>
        </w:numPr>
        <w:rPr>
          <w:b/>
          <w:bCs/>
        </w:rPr>
      </w:pPr>
      <w:r>
        <w:rPr>
          <w:b/>
          <w:bCs/>
        </w:rPr>
        <w:t>Alt1 or Alt2 for dual-DU</w:t>
      </w:r>
    </w:p>
    <w:p w14:paraId="405C266D" w14:textId="28D183CE" w:rsidR="000A1AF5" w:rsidRDefault="000A1AF5" w:rsidP="00492363">
      <w:pPr>
        <w:overflowPunct/>
        <w:autoSpaceDE/>
        <w:autoSpaceDN/>
        <w:adjustRightInd/>
        <w:spacing w:after="0"/>
        <w:ind w:left="667"/>
        <w:jc w:val="left"/>
        <w:textAlignment w:val="auto"/>
      </w:pPr>
      <w:r>
        <w:rPr>
          <w:rFonts w:eastAsia="宋体"/>
          <w:lang w:eastAsia="en-US"/>
        </w:rPr>
        <w:t>In both</w:t>
      </w:r>
      <w:r w:rsidR="00373FDB">
        <w:rPr>
          <w:rFonts w:eastAsia="宋体"/>
          <w:lang w:eastAsia="en-US"/>
        </w:rPr>
        <w:t xml:space="preserve"> intermediate Stage Option 1 and Option 2, </w:t>
      </w:r>
      <w:r w:rsidR="00373FDB">
        <w:t>the individual UE may receive the HO command at different time</w:t>
      </w:r>
      <w:r w:rsidR="00C00245">
        <w:t>. I</w:t>
      </w:r>
      <w:r w:rsidR="00373FDB">
        <w:t xml:space="preserve">t is possible that some UE may connect with target DU while other UE still connect with source DU. So both DUs and their cells shall be active simultaneously. </w:t>
      </w:r>
      <w:r>
        <w:t>RAN3 discussed two alternatives</w:t>
      </w:r>
      <w:r w:rsidR="00817C38">
        <w:t xml:space="preserve"> in Rel-17</w:t>
      </w:r>
      <w:r w:rsidR="00220C2E">
        <w:t>:</w:t>
      </w:r>
    </w:p>
    <w:p w14:paraId="2A3AE77C" w14:textId="77777777" w:rsidR="000A1AF5" w:rsidRDefault="000A1AF5" w:rsidP="00492363">
      <w:pPr>
        <w:pStyle w:val="ListParagraph"/>
        <w:numPr>
          <w:ilvl w:val="0"/>
          <w:numId w:val="35"/>
        </w:numPr>
        <w:ind w:left="1132"/>
        <w:rPr>
          <w:rFonts w:eastAsia="Times New Roman"/>
        </w:rPr>
      </w:pPr>
      <w:r w:rsidRPr="00926DC9">
        <w:rPr>
          <w:rFonts w:eastAsia="Times New Roman"/>
        </w:rPr>
        <w:t>Alt1</w:t>
      </w:r>
      <w:r>
        <w:rPr>
          <w:rFonts w:eastAsia="Times New Roman"/>
        </w:rPr>
        <w:t>:</w:t>
      </w:r>
      <w:r w:rsidRPr="00926DC9">
        <w:rPr>
          <w:rFonts w:eastAsia="Times New Roman"/>
        </w:rPr>
        <w:t xml:space="preserve"> the two logical DUs use separate physical cell resources. </w:t>
      </w:r>
    </w:p>
    <w:p w14:paraId="30CF4941" w14:textId="77777777" w:rsidR="000A1AF5" w:rsidRDefault="000A1AF5" w:rsidP="00492363">
      <w:pPr>
        <w:pStyle w:val="ListParagraph"/>
        <w:numPr>
          <w:ilvl w:val="0"/>
          <w:numId w:val="35"/>
        </w:numPr>
        <w:ind w:left="1132"/>
        <w:rPr>
          <w:rFonts w:eastAsia="Times New Roman"/>
        </w:rPr>
      </w:pPr>
      <w:r w:rsidRPr="00926DC9">
        <w:rPr>
          <w:rFonts w:eastAsia="Times New Roman"/>
        </w:rPr>
        <w:t>Alt2</w:t>
      </w:r>
      <w:r>
        <w:rPr>
          <w:rFonts w:eastAsia="Times New Roman"/>
        </w:rPr>
        <w:t>:</w:t>
      </w:r>
      <w:r w:rsidRPr="00926DC9">
        <w:rPr>
          <w:rFonts w:eastAsia="Times New Roman"/>
        </w:rPr>
        <w:t xml:space="preserve"> the two logical DUs use the same physical cell resources.</w:t>
      </w:r>
    </w:p>
    <w:p w14:paraId="1B3A07D9" w14:textId="60A57CA9" w:rsidR="000A1AF5" w:rsidRPr="00926DC9" w:rsidRDefault="000A1AF5" w:rsidP="00492363">
      <w:pPr>
        <w:ind w:left="667"/>
        <w:rPr>
          <w:rFonts w:eastAsia="Times New Roman"/>
        </w:rPr>
      </w:pPr>
      <w:r>
        <w:rPr>
          <w:rFonts w:eastAsia="Times New Roman"/>
        </w:rPr>
        <w:t xml:space="preserve">Alt1 may increase the implementation cost, but may be less complex than Alt 2 which may require some coordination between the DUs and between IAB-donor-CUs for using the same physical resources. </w:t>
      </w:r>
      <w:r w:rsidR="00A57E08">
        <w:rPr>
          <w:rFonts w:eastAsia="Times New Roman"/>
        </w:rPr>
        <w:t xml:space="preserve">From RAN3 perspective, the requirement is the DU1’s cell(s) and DU2’s cell(s) are separate logical cells. </w:t>
      </w:r>
      <w:r w:rsidR="00E30000">
        <w:rPr>
          <w:rFonts w:eastAsia="Times New Roman"/>
        </w:rPr>
        <w:t xml:space="preserve">It should be </w:t>
      </w:r>
      <w:r w:rsidR="006F7CB8">
        <w:rPr>
          <w:rFonts w:eastAsia="Times New Roman"/>
        </w:rPr>
        <w:t xml:space="preserve">up to </w:t>
      </w:r>
      <w:r w:rsidR="004542C7">
        <w:rPr>
          <w:rFonts w:eastAsia="Times New Roman"/>
        </w:rPr>
        <w:t>RAN1/2</w:t>
      </w:r>
      <w:r w:rsidR="00E30000">
        <w:rPr>
          <w:rFonts w:eastAsia="Times New Roman"/>
        </w:rPr>
        <w:t xml:space="preserve">/4 </w:t>
      </w:r>
      <w:r w:rsidR="004542C7">
        <w:rPr>
          <w:rFonts w:eastAsia="Times New Roman"/>
        </w:rPr>
        <w:t xml:space="preserve">to decide which Alternative should be used in Re-18. </w:t>
      </w:r>
    </w:p>
    <w:p w14:paraId="68801F4D" w14:textId="6029D54F" w:rsidR="00256EEC" w:rsidRPr="00492363" w:rsidRDefault="00492363" w:rsidP="00492363">
      <w:pPr>
        <w:pStyle w:val="ListParagraph"/>
        <w:rPr>
          <w:b/>
          <w:bCs/>
        </w:rPr>
      </w:pPr>
      <w:r>
        <w:rPr>
          <w:b/>
          <w:bCs/>
        </w:rPr>
        <w:t>Proposal 4: RAN3 ass</w:t>
      </w:r>
      <w:r w:rsidR="00072B58">
        <w:rPr>
          <w:b/>
          <w:bCs/>
        </w:rPr>
        <w:t xml:space="preserve">umes DU1’s cell(s) and DU2’s cell(s) are </w:t>
      </w:r>
      <w:r w:rsidR="00256EEC" w:rsidRPr="00492363">
        <w:rPr>
          <w:b/>
          <w:bCs/>
        </w:rPr>
        <w:t>separate logical cells, but how to implement the 2 logical cells</w:t>
      </w:r>
      <w:r w:rsidR="00883F8A" w:rsidRPr="00492363">
        <w:rPr>
          <w:b/>
          <w:bCs/>
        </w:rPr>
        <w:t>, e.g. using Alt 1 or 2</w:t>
      </w:r>
      <w:r w:rsidR="00256EEC" w:rsidRPr="00492363">
        <w:rPr>
          <w:b/>
          <w:bCs/>
        </w:rPr>
        <w:t xml:space="preserve"> should be discussed in RAN1/2</w:t>
      </w:r>
      <w:r w:rsidR="0086742F">
        <w:rPr>
          <w:b/>
          <w:bCs/>
        </w:rPr>
        <w:t>/4</w:t>
      </w:r>
      <w:r w:rsidR="00256EEC" w:rsidRPr="00492363">
        <w:rPr>
          <w:b/>
          <w:bCs/>
        </w:rPr>
        <w:t>.</w:t>
      </w:r>
    </w:p>
    <w:p w14:paraId="123269E3" w14:textId="082466FA" w:rsidR="00D362D5" w:rsidRDefault="001712FF" w:rsidP="00C7556E">
      <w:pPr>
        <w:overflowPunct/>
        <w:autoSpaceDE/>
        <w:autoSpaceDN/>
        <w:adjustRightInd/>
        <w:spacing w:after="0"/>
        <w:jc w:val="left"/>
        <w:textAlignment w:val="auto"/>
      </w:pPr>
      <w:r>
        <w:rPr>
          <w:rFonts w:eastAsia="宋体"/>
          <w:lang w:eastAsia="en-US"/>
        </w:rPr>
        <w:br w:type="page"/>
      </w:r>
    </w:p>
    <w:p w14:paraId="374D50FB" w14:textId="008C9E71" w:rsidR="00C7556E" w:rsidRDefault="00C7556E" w:rsidP="00C7556E">
      <w:pPr>
        <w:pStyle w:val="Heading1"/>
      </w:pPr>
      <w:r>
        <w:lastRenderedPageBreak/>
        <w:t>Conclusions</w:t>
      </w:r>
    </w:p>
    <w:p w14:paraId="2C288EBE" w14:textId="678562D7" w:rsidR="00C7556E" w:rsidRDefault="000A7325" w:rsidP="00C7556E">
      <w:pPr>
        <w:spacing w:after="180"/>
        <w:jc w:val="left"/>
      </w:pPr>
      <w:r>
        <w:t>For mobility enhancements, our proposals are:</w:t>
      </w:r>
    </w:p>
    <w:p w14:paraId="2539EEBF" w14:textId="77777777" w:rsidR="00EC6D76" w:rsidRDefault="00EC6D76" w:rsidP="00EC6D76">
      <w:pPr>
        <w:pStyle w:val="ListParagraph"/>
        <w:rPr>
          <w:b/>
          <w:bCs/>
        </w:rPr>
      </w:pPr>
      <w:r>
        <w:rPr>
          <w:b/>
          <w:bCs/>
        </w:rPr>
        <w:t>Proposal 1: DU2 is configured by OAM (same as Rel-16/17 IAB-DU configuration)</w:t>
      </w:r>
    </w:p>
    <w:p w14:paraId="638B9AAE" w14:textId="77777777" w:rsidR="006F7CB8" w:rsidRDefault="006F7CB8" w:rsidP="006F7CB8">
      <w:pPr>
        <w:pStyle w:val="ListParagraph"/>
        <w:rPr>
          <w:b/>
          <w:bCs/>
        </w:rPr>
      </w:pPr>
    </w:p>
    <w:p w14:paraId="0A0928E0" w14:textId="55597287" w:rsidR="006F7CB8" w:rsidRPr="00AE2A62" w:rsidRDefault="006F7CB8" w:rsidP="006F7CB8">
      <w:pPr>
        <w:pStyle w:val="ListParagraph"/>
        <w:rPr>
          <w:b/>
          <w:bCs/>
        </w:rPr>
      </w:pPr>
      <w:r w:rsidRPr="00AE2A62">
        <w:rPr>
          <w:b/>
          <w:bCs/>
        </w:rPr>
        <w:t xml:space="preserve">Proposal 2: </w:t>
      </w:r>
      <w:r>
        <w:rPr>
          <w:b/>
          <w:bCs/>
        </w:rPr>
        <w:t>RAN3 study how source IAB-donor-CU know target F1 is ready, and consider the option that source IAB-donor-CU know it from the migrating IAB or from target IAB-donor-CU.</w:t>
      </w:r>
    </w:p>
    <w:p w14:paraId="52E1EEFA" w14:textId="77777777" w:rsidR="00671345" w:rsidRDefault="00671345" w:rsidP="00671345">
      <w:pPr>
        <w:pStyle w:val="ListParagraph"/>
        <w:rPr>
          <w:b/>
          <w:bCs/>
        </w:rPr>
      </w:pPr>
    </w:p>
    <w:p w14:paraId="31FD66C5" w14:textId="06FA7EDF" w:rsidR="00671345" w:rsidRPr="00AE2A62" w:rsidRDefault="00671345" w:rsidP="00671345">
      <w:pPr>
        <w:pStyle w:val="ListParagraph"/>
        <w:rPr>
          <w:b/>
          <w:bCs/>
        </w:rPr>
      </w:pPr>
      <w:r w:rsidRPr="00AE2A62">
        <w:rPr>
          <w:b/>
          <w:bCs/>
        </w:rPr>
        <w:t xml:space="preserve">Proposal </w:t>
      </w:r>
      <w:r>
        <w:rPr>
          <w:b/>
          <w:bCs/>
        </w:rPr>
        <w:t>3</w:t>
      </w:r>
      <w:r w:rsidRPr="00AE2A62">
        <w:rPr>
          <w:b/>
          <w:bCs/>
        </w:rPr>
        <w:t xml:space="preserve">: </w:t>
      </w:r>
      <w:r>
        <w:rPr>
          <w:b/>
          <w:bCs/>
        </w:rPr>
        <w:t>RAN3 study how source IAB-donor-CU know the target cell ID for a UE, and consider the option that source IAB-donor-CU know it from the migrating IAB-DU or from target IAB-donor-CU.</w:t>
      </w:r>
    </w:p>
    <w:p w14:paraId="67A624B6" w14:textId="77777777" w:rsidR="00671345" w:rsidRDefault="00671345" w:rsidP="00671345">
      <w:pPr>
        <w:pStyle w:val="ListParagraph"/>
        <w:rPr>
          <w:b/>
          <w:bCs/>
        </w:rPr>
      </w:pPr>
    </w:p>
    <w:p w14:paraId="1D4EE0CF" w14:textId="53C3EB68" w:rsidR="00671345" w:rsidRPr="00492363" w:rsidRDefault="00671345" w:rsidP="00671345">
      <w:pPr>
        <w:pStyle w:val="ListParagraph"/>
        <w:rPr>
          <w:b/>
          <w:bCs/>
        </w:rPr>
      </w:pPr>
      <w:r>
        <w:rPr>
          <w:b/>
          <w:bCs/>
        </w:rPr>
        <w:t xml:space="preserve">Proposal 4: RAN3 assumes DU1’s cell(s) and DU2’s cell(s) are </w:t>
      </w:r>
      <w:r w:rsidRPr="00492363">
        <w:rPr>
          <w:b/>
          <w:bCs/>
        </w:rPr>
        <w:t>separate logical cells, but how to implement the 2 logical cells, e.g. using Alt 1 or 2 should be discussed in RAN1/2</w:t>
      </w:r>
      <w:r>
        <w:rPr>
          <w:b/>
          <w:bCs/>
        </w:rPr>
        <w:t>/4</w:t>
      </w:r>
      <w:r w:rsidRPr="00492363">
        <w:rPr>
          <w:b/>
          <w:bCs/>
        </w:rPr>
        <w:t>.</w:t>
      </w:r>
    </w:p>
    <w:p w14:paraId="485ACEAB" w14:textId="77777777" w:rsidR="009443C0" w:rsidRDefault="009443C0">
      <w:pPr>
        <w:overflowPunct/>
        <w:autoSpaceDE/>
        <w:autoSpaceDN/>
        <w:adjustRightInd/>
        <w:spacing w:after="0"/>
        <w:jc w:val="left"/>
        <w:textAlignment w:val="auto"/>
      </w:pPr>
    </w:p>
    <w:p w14:paraId="5EB74BFD" w14:textId="77777777" w:rsidR="009443C0" w:rsidRDefault="009443C0" w:rsidP="009443C0">
      <w:pPr>
        <w:overflowPunct/>
        <w:autoSpaceDE/>
        <w:autoSpaceDN/>
        <w:adjustRightInd/>
        <w:spacing w:after="0"/>
        <w:jc w:val="left"/>
        <w:textAlignment w:val="auto"/>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r w:rsidRPr="00E86720">
        <w:t>RP-221815</w:t>
      </w:r>
      <w:r>
        <w:t xml:space="preserve"> New </w:t>
      </w:r>
      <w:r w:rsidR="009443C0">
        <w:t>WID</w:t>
      </w:r>
      <w:r>
        <w:t xml:space="preserve"> on Mobile IAB</w:t>
      </w:r>
    </w:p>
    <w:p w14:paraId="1B8AF0F2" w14:textId="77777777" w:rsidR="00CD0481" w:rsidRPr="0067794B" w:rsidRDefault="00CD0481" w:rsidP="00CD0481">
      <w:pPr>
        <w:numPr>
          <w:ilvl w:val="0"/>
          <w:numId w:val="21"/>
        </w:numPr>
        <w:spacing w:after="180"/>
        <w:jc w:val="left"/>
        <w:rPr>
          <w:lang w:val="fi-FI"/>
        </w:rPr>
      </w:pPr>
      <w:bookmarkStart w:id="2" w:name="_Ref110516435"/>
      <w:r w:rsidRPr="00904D21">
        <w:t>R3-206854, CB#11 IABInterDonorMigration</w:t>
      </w:r>
      <w:bookmarkEnd w:id="2"/>
      <w:r w:rsidRPr="00904D21">
        <w:t xml:space="preserve"> </w:t>
      </w:r>
    </w:p>
    <w:p w14:paraId="3C4A479C" w14:textId="77777777" w:rsidR="00CD0481" w:rsidRPr="00ED5CAF" w:rsidRDefault="00CD0481" w:rsidP="00CD0481">
      <w:pPr>
        <w:numPr>
          <w:ilvl w:val="0"/>
          <w:numId w:val="21"/>
        </w:numPr>
        <w:spacing w:after="180"/>
        <w:jc w:val="left"/>
        <w:rPr>
          <w:lang w:val="fi-FI"/>
        </w:rPr>
      </w:pPr>
      <w:r w:rsidRPr="00ED5CAF">
        <w:rPr>
          <w:lang w:val="fi-FI"/>
        </w:rPr>
        <w:t xml:space="preserve">R3-206256 Inter-donor IAB-node migration </w:t>
      </w:r>
    </w:p>
    <w:sectPr w:rsidR="00CD0481" w:rsidRPr="00ED5CAF" w:rsidSect="009443C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7658" w14:textId="77777777" w:rsidR="001D7D49" w:rsidRDefault="001D7D49">
      <w:r>
        <w:separator/>
      </w:r>
    </w:p>
  </w:endnote>
  <w:endnote w:type="continuationSeparator" w:id="0">
    <w:p w14:paraId="663E0D82" w14:textId="77777777" w:rsidR="001D7D49" w:rsidRDefault="001D7D49">
      <w:r>
        <w:continuationSeparator/>
      </w:r>
    </w:p>
  </w:endnote>
  <w:endnote w:type="continuationNotice" w:id="1">
    <w:p w14:paraId="0F834866" w14:textId="77777777" w:rsidR="001D7D49" w:rsidRDefault="001D7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12CE" w14:textId="77777777" w:rsidR="001D7D49" w:rsidRDefault="001D7D49">
      <w:r>
        <w:separator/>
      </w:r>
    </w:p>
  </w:footnote>
  <w:footnote w:type="continuationSeparator" w:id="0">
    <w:p w14:paraId="5144E925" w14:textId="77777777" w:rsidR="001D7D49" w:rsidRDefault="001D7D49">
      <w:r>
        <w:continuationSeparator/>
      </w:r>
    </w:p>
  </w:footnote>
  <w:footnote w:type="continuationNotice" w:id="1">
    <w:p w14:paraId="3411E4BD" w14:textId="77777777" w:rsidR="001D7D49" w:rsidRDefault="001D7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D0F1B"/>
    <w:multiLevelType w:val="hybridMultilevel"/>
    <w:tmpl w:val="B484C4CA"/>
    <w:lvl w:ilvl="0" w:tplc="6C9899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0"/>
  </w:num>
  <w:num w:numId="3">
    <w:abstractNumId w:val="20"/>
  </w:num>
  <w:num w:numId="4">
    <w:abstractNumId w:val="17"/>
  </w:num>
  <w:num w:numId="5">
    <w:abstractNumId w:val="18"/>
  </w:num>
  <w:num w:numId="6">
    <w:abstractNumId w:val="12"/>
  </w:num>
  <w:num w:numId="7">
    <w:abstractNumId w:val="19"/>
  </w:num>
  <w:num w:numId="8">
    <w:abstractNumId w:val="25"/>
  </w:num>
  <w:num w:numId="9">
    <w:abstractNumId w:val="13"/>
  </w:num>
  <w:num w:numId="10">
    <w:abstractNumId w:val="21"/>
  </w:num>
  <w:num w:numId="11">
    <w:abstractNumId w:val="27"/>
  </w:num>
  <w:num w:numId="12">
    <w:abstractNumId w:val="3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8"/>
  </w:num>
  <w:num w:numId="18">
    <w:abstractNumId w:val="24"/>
  </w:num>
  <w:num w:numId="19">
    <w:abstractNumId w:val="34"/>
  </w:num>
  <w:num w:numId="20">
    <w:abstractNumId w:val="11"/>
  </w:num>
  <w:num w:numId="21">
    <w:abstractNumId w:val="1"/>
  </w:num>
  <w:num w:numId="22">
    <w:abstractNumId w:val="22"/>
    <w:lvlOverride w:ilvl="0">
      <w:startOverride w:val="1"/>
    </w:lvlOverride>
  </w:num>
  <w:num w:numId="23">
    <w:abstractNumId w:val="2"/>
  </w:num>
  <w:num w:numId="24">
    <w:abstractNumId w:val="9"/>
  </w:num>
  <w:num w:numId="25">
    <w:abstractNumId w:val="5"/>
  </w:num>
  <w:num w:numId="26">
    <w:abstractNumId w:val="16"/>
  </w:num>
  <w:num w:numId="27">
    <w:abstractNumId w:val="28"/>
  </w:num>
  <w:num w:numId="28">
    <w:abstractNumId w:val="30"/>
  </w:num>
  <w:num w:numId="29">
    <w:abstractNumId w:val="14"/>
  </w:num>
  <w:num w:numId="30">
    <w:abstractNumId w:val="29"/>
  </w:num>
  <w:num w:numId="31">
    <w:abstractNumId w:val="33"/>
  </w:num>
  <w:num w:numId="32">
    <w:abstractNumId w:val="31"/>
  </w:num>
  <w:num w:numId="33">
    <w:abstractNumId w:val="7"/>
  </w:num>
  <w:num w:numId="34">
    <w:abstractNumId w:val="10"/>
  </w:num>
  <w:num w:numId="35">
    <w:abstractNumId w:val="6"/>
  </w:num>
  <w:num w:numId="3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63D0"/>
    <w:rsid w:val="00016911"/>
    <w:rsid w:val="00017038"/>
    <w:rsid w:val="000179D1"/>
    <w:rsid w:val="000200F0"/>
    <w:rsid w:val="0002084C"/>
    <w:rsid w:val="000212A2"/>
    <w:rsid w:val="00021FEB"/>
    <w:rsid w:val="00022116"/>
    <w:rsid w:val="000226EB"/>
    <w:rsid w:val="000229C4"/>
    <w:rsid w:val="00022DA7"/>
    <w:rsid w:val="000238DA"/>
    <w:rsid w:val="000243BC"/>
    <w:rsid w:val="000244B4"/>
    <w:rsid w:val="000247D1"/>
    <w:rsid w:val="00025301"/>
    <w:rsid w:val="00025408"/>
    <w:rsid w:val="0002564D"/>
    <w:rsid w:val="00025ECA"/>
    <w:rsid w:val="0002600C"/>
    <w:rsid w:val="00027939"/>
    <w:rsid w:val="000302A3"/>
    <w:rsid w:val="0003063B"/>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72D6"/>
    <w:rsid w:val="000A7325"/>
    <w:rsid w:val="000B0146"/>
    <w:rsid w:val="000B1A38"/>
    <w:rsid w:val="000B2719"/>
    <w:rsid w:val="000B3A8F"/>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8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0A0F"/>
    <w:rsid w:val="00291C07"/>
    <w:rsid w:val="002921E6"/>
    <w:rsid w:val="00292560"/>
    <w:rsid w:val="00292EB7"/>
    <w:rsid w:val="00293328"/>
    <w:rsid w:val="00293817"/>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49F"/>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4E60"/>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61BF"/>
    <w:rsid w:val="003C6EBE"/>
    <w:rsid w:val="003C7806"/>
    <w:rsid w:val="003C78D2"/>
    <w:rsid w:val="003C7AB5"/>
    <w:rsid w:val="003D0761"/>
    <w:rsid w:val="003D0A76"/>
    <w:rsid w:val="003D0FD0"/>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4687"/>
    <w:rsid w:val="004154C5"/>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7D7"/>
    <w:rsid w:val="00425889"/>
    <w:rsid w:val="00427248"/>
    <w:rsid w:val="00427A45"/>
    <w:rsid w:val="00427B7B"/>
    <w:rsid w:val="00430217"/>
    <w:rsid w:val="004319E2"/>
    <w:rsid w:val="004320D2"/>
    <w:rsid w:val="004322B6"/>
    <w:rsid w:val="00432704"/>
    <w:rsid w:val="00432C84"/>
    <w:rsid w:val="004337E0"/>
    <w:rsid w:val="00433868"/>
    <w:rsid w:val="004340AB"/>
    <w:rsid w:val="00434186"/>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542D"/>
    <w:rsid w:val="0046562A"/>
    <w:rsid w:val="004656CC"/>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363"/>
    <w:rsid w:val="00492747"/>
    <w:rsid w:val="00492BC5"/>
    <w:rsid w:val="00492D58"/>
    <w:rsid w:val="004932E3"/>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3B22"/>
    <w:rsid w:val="004F44BE"/>
    <w:rsid w:val="004F4756"/>
    <w:rsid w:val="004F491F"/>
    <w:rsid w:val="004F4981"/>
    <w:rsid w:val="004F4DA3"/>
    <w:rsid w:val="004F508B"/>
    <w:rsid w:val="004F5B00"/>
    <w:rsid w:val="004F5C67"/>
    <w:rsid w:val="004F6769"/>
    <w:rsid w:val="004F6C6C"/>
    <w:rsid w:val="004F6EC9"/>
    <w:rsid w:val="004F729D"/>
    <w:rsid w:val="005000AF"/>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DD7"/>
    <w:rsid w:val="00565D18"/>
    <w:rsid w:val="0056617B"/>
    <w:rsid w:val="005663D5"/>
    <w:rsid w:val="005664CA"/>
    <w:rsid w:val="005665C5"/>
    <w:rsid w:val="0056733A"/>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19D1"/>
    <w:rsid w:val="005B1FA4"/>
    <w:rsid w:val="005B2411"/>
    <w:rsid w:val="005B25F7"/>
    <w:rsid w:val="005B28BD"/>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299D"/>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725E"/>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6F7CB8"/>
    <w:rsid w:val="00700117"/>
    <w:rsid w:val="007011EE"/>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527"/>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7013F"/>
    <w:rsid w:val="007708DF"/>
    <w:rsid w:val="007710B7"/>
    <w:rsid w:val="00771371"/>
    <w:rsid w:val="007717B7"/>
    <w:rsid w:val="007717C0"/>
    <w:rsid w:val="00771DE9"/>
    <w:rsid w:val="007730BD"/>
    <w:rsid w:val="00773C0A"/>
    <w:rsid w:val="00773CF7"/>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306F"/>
    <w:rsid w:val="007A3647"/>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1E06"/>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31F"/>
    <w:rsid w:val="00806CEA"/>
    <w:rsid w:val="00806D00"/>
    <w:rsid w:val="00806F4B"/>
    <w:rsid w:val="0080763E"/>
    <w:rsid w:val="00807786"/>
    <w:rsid w:val="008102E6"/>
    <w:rsid w:val="008104DC"/>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208"/>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42F"/>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3F8A"/>
    <w:rsid w:val="00884D89"/>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3F66"/>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2010"/>
    <w:rsid w:val="0092314B"/>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3CE"/>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6EC9"/>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077FE"/>
    <w:rsid w:val="00A1049F"/>
    <w:rsid w:val="00A10DB8"/>
    <w:rsid w:val="00A129D7"/>
    <w:rsid w:val="00A13090"/>
    <w:rsid w:val="00A13263"/>
    <w:rsid w:val="00A13645"/>
    <w:rsid w:val="00A13E54"/>
    <w:rsid w:val="00A142A1"/>
    <w:rsid w:val="00A15202"/>
    <w:rsid w:val="00A1546C"/>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6508"/>
    <w:rsid w:val="00A56A78"/>
    <w:rsid w:val="00A57E0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7AC"/>
    <w:rsid w:val="00AE27E4"/>
    <w:rsid w:val="00AE2A62"/>
    <w:rsid w:val="00AE2D11"/>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21E6"/>
    <w:rsid w:val="00B53227"/>
    <w:rsid w:val="00B53F38"/>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005"/>
    <w:rsid w:val="00CC5E23"/>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1742A"/>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05F5"/>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6DD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6E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145C"/>
    <w:rsid w:val="00EA172E"/>
    <w:rsid w:val="00EA1940"/>
    <w:rsid w:val="00EA33B1"/>
    <w:rsid w:val="00EA383B"/>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6D76"/>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E64"/>
    <w:rsid w:val="00EE1E92"/>
    <w:rsid w:val="00EE1EE2"/>
    <w:rsid w:val="00EE267E"/>
    <w:rsid w:val="00EE34A9"/>
    <w:rsid w:val="00EE392C"/>
    <w:rsid w:val="00EE4026"/>
    <w:rsid w:val="00EE49D4"/>
    <w:rsid w:val="00EE4B5E"/>
    <w:rsid w:val="00EE4DF7"/>
    <w:rsid w:val="00EE4E1C"/>
    <w:rsid w:val="00EE7F85"/>
    <w:rsid w:val="00EF08AA"/>
    <w:rsid w:val="00EF18FE"/>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ABA"/>
    <w:rsid w:val="00F40F0C"/>
    <w:rsid w:val="00F41518"/>
    <w:rsid w:val="00F41E63"/>
    <w:rsid w:val="00F42123"/>
    <w:rsid w:val="00F429C3"/>
    <w:rsid w:val="00F4364C"/>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2DC4"/>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A1165EB"/>
    <w:rsid w:val="1A2440A0"/>
    <w:rsid w:val="1EF1F735"/>
    <w:rsid w:val="209C681F"/>
    <w:rsid w:val="210E95FE"/>
    <w:rsid w:val="23E67CDA"/>
    <w:rsid w:val="24CB478D"/>
    <w:rsid w:val="261E4E13"/>
    <w:rsid w:val="28EA70FE"/>
    <w:rsid w:val="295A2ECD"/>
    <w:rsid w:val="2995EABA"/>
    <w:rsid w:val="2A2A2208"/>
    <w:rsid w:val="2CA3E6FE"/>
    <w:rsid w:val="2F17631C"/>
    <w:rsid w:val="3045607F"/>
    <w:rsid w:val="330BD6E3"/>
    <w:rsid w:val="348FB4FB"/>
    <w:rsid w:val="3648F031"/>
    <w:rsid w:val="3894BB86"/>
    <w:rsid w:val="38AC62F7"/>
    <w:rsid w:val="38E0E85D"/>
    <w:rsid w:val="3A4AED2D"/>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654F4A27-C314-4C0F-84F5-03C4F69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5AIRPNAIUNRU-1156379521-2999</_dlc_DocId>
    <_dlc_DocIdUrl xmlns="71c5aaf6-e6ce-465b-b873-5148d2a4c105">
      <Url>https://nokia.sharepoint.com/sites/c5g/e2earch/_layouts/15/DocIdRedir.aspx?ID=5AIRPNAIUNRU-1156379521-2999</Url>
      <Description>5AIRPNAIUNRU-1156379521-2999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97860-77D1-4477-99B0-6349AD6AC68B}">
  <ds:schemaRefs>
    <ds:schemaRef ds:uri="http://schemas.openxmlformats.org/officeDocument/2006/bibliography"/>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100</TotalTime>
  <Pages>5</Pages>
  <Words>1365</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91</cp:revision>
  <cp:lastPrinted>2021-10-21T20:07:00Z</cp:lastPrinted>
  <dcterms:created xsi:type="dcterms:W3CDTF">2022-08-04T21:30:00Z</dcterms:created>
  <dcterms:modified xsi:type="dcterms:W3CDTF">2022-08-09T07:26:00Z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adb3f053-dde9-426b-8fe9-6ea39898c1a8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